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28" w:rsidRDefault="003D5C28" w:rsidP="003D5C28">
      <w:pPr>
        <w:spacing w:after="0" w:line="240" w:lineRule="auto"/>
        <w:rPr>
          <w:b/>
          <w:u w:val="single"/>
        </w:rPr>
      </w:pPr>
    </w:p>
    <w:p w:rsidR="00186E59" w:rsidRDefault="00E922EB" w:rsidP="003D5C28">
      <w:pPr>
        <w:spacing w:after="0" w:line="240" w:lineRule="auto"/>
      </w:pPr>
      <w:r w:rsidRPr="00E922EB">
        <w:rPr>
          <w:b/>
          <w:u w:val="single"/>
        </w:rPr>
        <w:t>Directions:</w:t>
      </w:r>
      <w:r>
        <w:t xml:space="preserve"> In this paragraph please consider the items that were left behind by the Harappan people and how they have provided information about that civilization. Please make sure you state the item, and then tell you opinion about what its importance is to you. This should be in a paragraph format.</w:t>
      </w:r>
    </w:p>
    <w:p w:rsidR="00E922EB" w:rsidRDefault="00E922EB">
      <w:r>
        <w:t>__________________________________________________________________________________________________________</w:t>
      </w:r>
    </w:p>
    <w:p w:rsidR="00E922EB" w:rsidRDefault="00E922EB">
      <w:r>
        <w:t>__________________________________________________________________________________________________________</w:t>
      </w:r>
    </w:p>
    <w:p w:rsidR="00E922EB" w:rsidRDefault="00E922EB">
      <w:r>
        <w:t>__________________________________________________________________________________________________________</w:t>
      </w:r>
    </w:p>
    <w:p w:rsidR="00E922EB" w:rsidRDefault="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rsidRPr="00E922EB">
        <w:rPr>
          <w:b/>
          <w:u w:val="single"/>
        </w:rPr>
        <w:t>Directions:</w:t>
      </w:r>
      <w:r>
        <w:t xml:space="preserve"> In this paragraph please consider the items that you decided to leave behind in a time capsule and how they will provide information to future generations about the lives in 21</w:t>
      </w:r>
      <w:r w:rsidRPr="00E922EB">
        <w:rPr>
          <w:vertAlign w:val="superscript"/>
        </w:rPr>
        <w:t>st</w:t>
      </w:r>
      <w:r>
        <w:t xml:space="preserve"> century America. Please make sure you state the item, and then tell you opinion about what its importance is to you. This should be in a paragraph format.</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sidP="00E922EB">
      <w:r>
        <w:t>__________________________________________________________________________________________________________</w:t>
      </w:r>
    </w:p>
    <w:p w:rsidR="00E922EB" w:rsidRDefault="00E922EB">
      <w:r>
        <w:t>__________________________________________________________________________________________________________</w:t>
      </w:r>
    </w:p>
    <w:p w:rsidR="00E978BA" w:rsidRDefault="00E978BA"/>
    <w:p w:rsidR="003D5C28" w:rsidRDefault="003D5C28" w:rsidP="00E978BA">
      <w:pPr>
        <w:autoSpaceDE w:val="0"/>
        <w:autoSpaceDN w:val="0"/>
        <w:adjustRightInd w:val="0"/>
        <w:spacing w:after="0" w:line="240" w:lineRule="auto"/>
        <w:jc w:val="center"/>
        <w:rPr>
          <w:rFonts w:ascii="MyriadPro-Regular" w:hAnsi="MyriadPro-Regular" w:cs="MyriadPro-Regular"/>
          <w:sz w:val="19"/>
          <w:szCs w:val="19"/>
        </w:rPr>
      </w:pPr>
    </w:p>
    <w:p w:rsidR="003D5C28" w:rsidRDefault="003D5C28" w:rsidP="00E978BA">
      <w:pPr>
        <w:autoSpaceDE w:val="0"/>
        <w:autoSpaceDN w:val="0"/>
        <w:adjustRightInd w:val="0"/>
        <w:spacing w:after="0" w:line="240" w:lineRule="auto"/>
        <w:jc w:val="center"/>
        <w:rPr>
          <w:rFonts w:ascii="MyriadPro-Regular" w:hAnsi="MyriadPro-Regular" w:cs="MyriadPro-Regular"/>
          <w:sz w:val="19"/>
          <w:szCs w:val="19"/>
        </w:rPr>
      </w:pPr>
    </w:p>
    <w:p w:rsidR="003D5C28" w:rsidRDefault="003D5C28" w:rsidP="00E978BA">
      <w:pPr>
        <w:autoSpaceDE w:val="0"/>
        <w:autoSpaceDN w:val="0"/>
        <w:adjustRightInd w:val="0"/>
        <w:spacing w:after="0" w:line="240" w:lineRule="auto"/>
        <w:jc w:val="center"/>
        <w:rPr>
          <w:rFonts w:ascii="MyriadPro-Regular" w:hAnsi="MyriadPro-Regular" w:cs="MyriadPro-Regular"/>
          <w:sz w:val="19"/>
          <w:szCs w:val="19"/>
        </w:rPr>
      </w:pPr>
    </w:p>
    <w:p w:rsidR="00E978BA" w:rsidRDefault="00E978BA" w:rsidP="00E978BA">
      <w:pPr>
        <w:autoSpaceDE w:val="0"/>
        <w:autoSpaceDN w:val="0"/>
        <w:adjustRightInd w:val="0"/>
        <w:spacing w:after="0" w:line="240" w:lineRule="auto"/>
        <w:jc w:val="center"/>
        <w:rPr>
          <w:rFonts w:ascii="MyriadPro-Regular" w:hAnsi="MyriadPro-Regular" w:cs="MyriadPro-Regular"/>
          <w:sz w:val="19"/>
          <w:szCs w:val="19"/>
        </w:rPr>
      </w:pPr>
      <w:r>
        <w:rPr>
          <w:rFonts w:ascii="MyriadPro-Regular" w:hAnsi="MyriadPro-Regular" w:cs="MyriadPro-Regular"/>
          <w:sz w:val="19"/>
          <w:szCs w:val="19"/>
        </w:rPr>
        <w:t>The development of skills in humanities is critical in enabling the student to undertake research and</w:t>
      </w:r>
    </w:p>
    <w:p w:rsidR="00E978BA" w:rsidRDefault="00E978BA" w:rsidP="00E978BA">
      <w:pPr>
        <w:autoSpaceDE w:val="0"/>
        <w:autoSpaceDN w:val="0"/>
        <w:adjustRightInd w:val="0"/>
        <w:spacing w:after="0" w:line="240" w:lineRule="auto"/>
        <w:jc w:val="center"/>
        <w:rPr>
          <w:rFonts w:ascii="MyriadPro-Regular" w:hAnsi="MyriadPro-Regular" w:cs="MyriadPro-Regular"/>
          <w:sz w:val="19"/>
          <w:szCs w:val="19"/>
        </w:rPr>
      </w:pPr>
      <w:r>
        <w:rPr>
          <w:rFonts w:ascii="MyriadPro-Regular" w:hAnsi="MyriadPro-Regular" w:cs="MyriadPro-Regular"/>
          <w:sz w:val="19"/>
          <w:szCs w:val="19"/>
        </w:rPr>
        <w:t>demonstrate an understanding of knowledge and concepts. Developments in the student’s technical,</w:t>
      </w:r>
    </w:p>
    <w:p w:rsidR="00E978BA" w:rsidRDefault="00E978BA" w:rsidP="00E978BA">
      <w:pPr>
        <w:autoSpaceDE w:val="0"/>
        <w:autoSpaceDN w:val="0"/>
        <w:adjustRightInd w:val="0"/>
        <w:spacing w:after="0" w:line="240" w:lineRule="auto"/>
        <w:jc w:val="center"/>
        <w:rPr>
          <w:rFonts w:ascii="MyriadPro-Regular" w:hAnsi="MyriadPro-Regular" w:cs="MyriadPro-Regular"/>
          <w:sz w:val="19"/>
          <w:szCs w:val="19"/>
        </w:rPr>
      </w:pPr>
      <w:r>
        <w:rPr>
          <w:rFonts w:ascii="MyriadPro-Regular" w:hAnsi="MyriadPro-Regular" w:cs="MyriadPro-Regular"/>
          <w:sz w:val="19"/>
          <w:szCs w:val="19"/>
        </w:rPr>
        <w:t>analytical, decision-making and investigative skills will be invaluable in transferring these skills to other</w:t>
      </w:r>
    </w:p>
    <w:p w:rsidR="00E978BA" w:rsidRDefault="00E978BA" w:rsidP="00E978BA">
      <w:pPr>
        <w:jc w:val="center"/>
      </w:pPr>
      <w:r>
        <w:rPr>
          <w:rFonts w:ascii="MyriadPro-Regular" w:hAnsi="MyriadPro-Regular" w:cs="MyriadPro-Regular"/>
          <w:sz w:val="19"/>
          <w:szCs w:val="19"/>
        </w:rPr>
        <w:t>subject groups in the MYP, and for lifelong learning.</w:t>
      </w:r>
    </w:p>
    <w:p w:rsidR="00E978BA" w:rsidRDefault="00E978BA"/>
    <w:p w:rsidR="003D5C28" w:rsidRDefault="00E978BA">
      <w:r>
        <w:t xml:space="preserve">    </w:t>
      </w: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260"/>
        <w:gridCol w:w="7902"/>
      </w:tblGrid>
      <w:tr w:rsidR="00E978BA" w:rsidTr="00186E59">
        <w:trPr>
          <w:trHeight w:val="584"/>
          <w:jc w:val="center"/>
        </w:trPr>
        <w:tc>
          <w:tcPr>
            <w:tcW w:w="1260" w:type="dxa"/>
          </w:tcPr>
          <w:p w:rsidR="00E978BA" w:rsidRPr="00186E59" w:rsidRDefault="00E978BA" w:rsidP="00AB7344">
            <w:pPr>
              <w:jc w:val="center"/>
              <w:rPr>
                <w:b/>
              </w:rPr>
            </w:pPr>
            <w:r w:rsidRPr="00186E59">
              <w:rPr>
                <w:b/>
              </w:rPr>
              <w:t>IB Score</w:t>
            </w:r>
          </w:p>
        </w:tc>
        <w:tc>
          <w:tcPr>
            <w:tcW w:w="1260" w:type="dxa"/>
          </w:tcPr>
          <w:p w:rsidR="00E978BA" w:rsidRPr="00186E59" w:rsidRDefault="00AB7344" w:rsidP="00AB7344">
            <w:pPr>
              <w:jc w:val="center"/>
              <w:rPr>
                <w:b/>
              </w:rPr>
            </w:pPr>
            <w:r>
              <w:rPr>
                <w:b/>
              </w:rPr>
              <w:t>Class</w:t>
            </w:r>
            <w:r>
              <w:rPr>
                <w:b/>
              </w:rPr>
              <w:br/>
            </w:r>
            <w:r w:rsidR="00E978BA" w:rsidRPr="00186E59">
              <w:rPr>
                <w:b/>
              </w:rPr>
              <w:t xml:space="preserve"> Grade</w:t>
            </w:r>
          </w:p>
        </w:tc>
        <w:tc>
          <w:tcPr>
            <w:tcW w:w="7902" w:type="dxa"/>
          </w:tcPr>
          <w:p w:rsidR="00E978BA" w:rsidRPr="00186E59" w:rsidRDefault="00E978BA" w:rsidP="00186E59">
            <w:pPr>
              <w:autoSpaceDE w:val="0"/>
              <w:autoSpaceDN w:val="0"/>
              <w:adjustRightInd w:val="0"/>
              <w:spacing w:after="0" w:line="240" w:lineRule="auto"/>
              <w:rPr>
                <w:rFonts w:ascii="MyriadPro-Regular" w:hAnsi="MyriadPro-Regular" w:cs="MyriadPro-Regular"/>
                <w:b/>
                <w:sz w:val="19"/>
                <w:szCs w:val="19"/>
              </w:rPr>
            </w:pPr>
            <w:r w:rsidRPr="00186E59">
              <w:rPr>
                <w:rFonts w:ascii="MyriadPro-Regular" w:hAnsi="MyriadPro-Regular" w:cs="MyriadPro-Regular"/>
                <w:b/>
                <w:sz w:val="19"/>
                <w:szCs w:val="19"/>
              </w:rPr>
              <w:t xml:space="preserve">                 Basis for grading on a rubric for the standard</w:t>
            </w:r>
          </w:p>
          <w:p w:rsidR="00E978BA" w:rsidRPr="00186E59" w:rsidRDefault="00E978BA" w:rsidP="00186E59">
            <w:pPr>
              <w:keepLines/>
              <w:suppressAutoHyphens/>
              <w:autoSpaceDE w:val="0"/>
              <w:autoSpaceDN w:val="0"/>
              <w:adjustRightInd w:val="0"/>
              <w:spacing w:after="0" w:line="240" w:lineRule="auto"/>
              <w:jc w:val="center"/>
              <w:rPr>
                <w:rFonts w:ascii="Times New Roman" w:hAnsi="Times New Roman"/>
                <w:b/>
                <w:color w:val="000000"/>
                <w:sz w:val="18"/>
                <w:szCs w:val="18"/>
              </w:rPr>
            </w:pPr>
            <w:r w:rsidRPr="00186E59">
              <w:rPr>
                <w:rFonts w:ascii="Times New Roman" w:hAnsi="Times New Roman"/>
                <w:b/>
                <w:bCs/>
                <w:color w:val="000000"/>
                <w:sz w:val="18"/>
                <w:szCs w:val="18"/>
              </w:rPr>
              <w:t>S2:C1:PO8</w:t>
            </w:r>
            <w:r w:rsidRPr="00186E59">
              <w:rPr>
                <w:rFonts w:ascii="Times New Roman" w:hAnsi="Times New Roman"/>
                <w:b/>
                <w:color w:val="000000"/>
                <w:sz w:val="18"/>
                <w:szCs w:val="18"/>
              </w:rPr>
              <w:t>- Describe how archeological research adds to our understanding of the past.</w:t>
            </w:r>
          </w:p>
          <w:p w:rsidR="00E978BA" w:rsidRPr="00186E59" w:rsidRDefault="00E978BA" w:rsidP="00186E59">
            <w:pPr>
              <w:autoSpaceDE w:val="0"/>
              <w:autoSpaceDN w:val="0"/>
              <w:adjustRightInd w:val="0"/>
              <w:spacing w:after="0" w:line="240" w:lineRule="auto"/>
              <w:rPr>
                <w:rFonts w:ascii="MyriadPro-Regular" w:hAnsi="MyriadPro-Regular" w:cs="MyriadPro-Regular"/>
                <w:b/>
                <w:sz w:val="19"/>
                <w:szCs w:val="19"/>
              </w:rPr>
            </w:pPr>
          </w:p>
        </w:tc>
      </w:tr>
      <w:tr w:rsidR="00E978BA" w:rsidTr="00186E59">
        <w:trPr>
          <w:jc w:val="center"/>
        </w:trPr>
        <w:tc>
          <w:tcPr>
            <w:tcW w:w="1260" w:type="dxa"/>
          </w:tcPr>
          <w:p w:rsidR="00E978BA" w:rsidRDefault="00E978BA" w:rsidP="00186E59">
            <w:pPr>
              <w:jc w:val="center"/>
            </w:pPr>
            <w:r>
              <w:t>0</w:t>
            </w:r>
          </w:p>
        </w:tc>
        <w:tc>
          <w:tcPr>
            <w:tcW w:w="1260" w:type="dxa"/>
          </w:tcPr>
          <w:p w:rsidR="00E978BA" w:rsidRDefault="00E978BA">
            <w:r>
              <w:t xml:space="preserve">      50%</w:t>
            </w:r>
          </w:p>
        </w:tc>
        <w:tc>
          <w:tcPr>
            <w:tcW w:w="7902" w:type="dxa"/>
          </w:tcPr>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The student does not reach a standard described by any of the descriptors</w:t>
            </w:r>
          </w:p>
          <w:p w:rsidR="00E978BA" w:rsidRDefault="00E978BA" w:rsidP="00E978BA">
            <w:r w:rsidRPr="00186E59">
              <w:rPr>
                <w:rFonts w:ascii="MyriadPro-Regular" w:hAnsi="MyriadPro-Regular" w:cs="MyriadPro-Regular"/>
                <w:sz w:val="19"/>
                <w:szCs w:val="19"/>
              </w:rPr>
              <w:t>given below.</w:t>
            </w:r>
          </w:p>
        </w:tc>
      </w:tr>
      <w:tr w:rsidR="00E978BA" w:rsidTr="00186E59">
        <w:trPr>
          <w:jc w:val="center"/>
        </w:trPr>
        <w:tc>
          <w:tcPr>
            <w:tcW w:w="1260" w:type="dxa"/>
          </w:tcPr>
          <w:p w:rsidR="00E978BA" w:rsidRDefault="00E978BA" w:rsidP="00186E59">
            <w:pPr>
              <w:jc w:val="center"/>
            </w:pPr>
            <w:r>
              <w:t>1-2</w:t>
            </w:r>
          </w:p>
        </w:tc>
        <w:tc>
          <w:tcPr>
            <w:tcW w:w="1260" w:type="dxa"/>
          </w:tcPr>
          <w:p w:rsidR="00E978BA" w:rsidRDefault="00E978BA" w:rsidP="00E978BA">
            <w:r>
              <w:t xml:space="preserve">  60- 72%</w:t>
            </w:r>
          </w:p>
        </w:tc>
        <w:tc>
          <w:tcPr>
            <w:tcW w:w="7902" w:type="dxa"/>
          </w:tcPr>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The student can select and use </w:t>
            </w:r>
            <w:r w:rsidRPr="00186E59">
              <w:rPr>
                <w:rFonts w:ascii="MyriadPro-Bold" w:hAnsi="MyriadPro-Bold" w:cs="MyriadPro-Bold"/>
                <w:b/>
                <w:bCs/>
                <w:sz w:val="19"/>
                <w:szCs w:val="19"/>
              </w:rPr>
              <w:t xml:space="preserve">some relevant </w:t>
            </w:r>
            <w:r w:rsidRPr="00186E59">
              <w:rPr>
                <w:rFonts w:ascii="MyriadPro-Regular" w:hAnsi="MyriadPro-Regular" w:cs="MyriadPro-Regular"/>
                <w:sz w:val="19"/>
                <w:szCs w:val="19"/>
              </w:rPr>
              <w:t>information. The student</w:t>
            </w:r>
          </w:p>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displays </w:t>
            </w:r>
            <w:r w:rsidRPr="00186E59">
              <w:rPr>
                <w:rFonts w:ascii="MyriadPro-Bold" w:hAnsi="MyriadPro-Bold" w:cs="MyriadPro-Bold"/>
                <w:b/>
                <w:bCs/>
                <w:sz w:val="19"/>
                <w:szCs w:val="19"/>
              </w:rPr>
              <w:t>minimal analytical skills</w:t>
            </w:r>
            <w:r w:rsidRPr="00186E59">
              <w:rPr>
                <w:rFonts w:ascii="MyriadPro-Regular" w:hAnsi="MyriadPro-Regular" w:cs="MyriadPro-Regular"/>
                <w:sz w:val="19"/>
                <w:szCs w:val="19"/>
              </w:rPr>
              <w:t>. The student’s arguments, decisions</w:t>
            </w:r>
          </w:p>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or judgments are </w:t>
            </w:r>
            <w:r w:rsidRPr="00186E59">
              <w:rPr>
                <w:rFonts w:ascii="MyriadPro-Bold" w:hAnsi="MyriadPro-Bold" w:cs="MyriadPro-Bold"/>
                <w:b/>
                <w:bCs/>
                <w:sz w:val="19"/>
                <w:szCs w:val="19"/>
              </w:rPr>
              <w:t>not always relevant</w:t>
            </w:r>
            <w:r w:rsidRPr="00186E59">
              <w:rPr>
                <w:rFonts w:ascii="MyriadPro-Regular" w:hAnsi="MyriadPro-Regular" w:cs="MyriadPro-Regular"/>
                <w:sz w:val="19"/>
                <w:szCs w:val="19"/>
              </w:rPr>
              <w:t xml:space="preserve">, or may be </w:t>
            </w:r>
            <w:r w:rsidRPr="00186E59">
              <w:rPr>
                <w:rFonts w:ascii="MyriadPro-Bold" w:hAnsi="MyriadPro-Bold" w:cs="MyriadPro-Bold"/>
                <w:b/>
                <w:bCs/>
                <w:sz w:val="19"/>
                <w:szCs w:val="19"/>
              </w:rPr>
              <w:t>absent</w:t>
            </w:r>
            <w:r w:rsidRPr="00186E59">
              <w:rPr>
                <w:rFonts w:ascii="MyriadPro-Regular" w:hAnsi="MyriadPro-Regular" w:cs="MyriadPro-Regular"/>
                <w:sz w:val="19"/>
                <w:szCs w:val="19"/>
              </w:rPr>
              <w:t>. The student</w:t>
            </w:r>
          </w:p>
          <w:p w:rsidR="00E978BA" w:rsidRDefault="00E978BA" w:rsidP="00E978BA">
            <w:r w:rsidRPr="00186E59">
              <w:rPr>
                <w:rFonts w:ascii="MyriadPro-Bold" w:hAnsi="MyriadPro-Bold" w:cs="MyriadPro-Bold"/>
                <w:b/>
                <w:bCs/>
                <w:sz w:val="19"/>
                <w:szCs w:val="19"/>
              </w:rPr>
              <w:t xml:space="preserve">attempts </w:t>
            </w:r>
            <w:r w:rsidRPr="00186E59">
              <w:rPr>
                <w:rFonts w:ascii="MyriadPro-Regular" w:hAnsi="MyriadPro-Regular" w:cs="MyriadPro-Regular"/>
                <w:sz w:val="19"/>
                <w:szCs w:val="19"/>
              </w:rPr>
              <w:t xml:space="preserve">to carry out investigations, demonstrating </w:t>
            </w:r>
            <w:r w:rsidRPr="00186E59">
              <w:rPr>
                <w:rFonts w:ascii="MyriadPro-Bold" w:hAnsi="MyriadPro-Bold" w:cs="MyriadPro-Bold"/>
                <w:b/>
                <w:bCs/>
                <w:sz w:val="19"/>
                <w:szCs w:val="19"/>
              </w:rPr>
              <w:t>few skills</w:t>
            </w:r>
            <w:r w:rsidRPr="00186E59">
              <w:rPr>
                <w:rFonts w:ascii="MyriadPro-Regular" w:hAnsi="MyriadPro-Regular" w:cs="MyriadPro-Regular"/>
                <w:sz w:val="19"/>
                <w:szCs w:val="19"/>
              </w:rPr>
              <w:t>.</w:t>
            </w:r>
          </w:p>
        </w:tc>
      </w:tr>
      <w:tr w:rsidR="00E978BA" w:rsidTr="00186E59">
        <w:trPr>
          <w:jc w:val="center"/>
        </w:trPr>
        <w:tc>
          <w:tcPr>
            <w:tcW w:w="1260" w:type="dxa"/>
          </w:tcPr>
          <w:p w:rsidR="00E978BA" w:rsidRDefault="00E978BA" w:rsidP="00186E59">
            <w:pPr>
              <w:jc w:val="center"/>
            </w:pPr>
            <w:r>
              <w:t>3-4</w:t>
            </w:r>
          </w:p>
        </w:tc>
        <w:tc>
          <w:tcPr>
            <w:tcW w:w="1260" w:type="dxa"/>
          </w:tcPr>
          <w:p w:rsidR="00E978BA" w:rsidRDefault="00E978BA" w:rsidP="00E978BA">
            <w:r>
              <w:t xml:space="preserve">  73%-85%</w:t>
            </w:r>
          </w:p>
        </w:tc>
        <w:tc>
          <w:tcPr>
            <w:tcW w:w="7902" w:type="dxa"/>
          </w:tcPr>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The student selects and uses </w:t>
            </w:r>
            <w:r w:rsidRPr="00186E59">
              <w:rPr>
                <w:rFonts w:ascii="MyriadPro-Bold" w:hAnsi="MyriadPro-Bold" w:cs="MyriadPro-Bold"/>
                <w:b/>
                <w:bCs/>
                <w:sz w:val="19"/>
                <w:szCs w:val="19"/>
              </w:rPr>
              <w:t xml:space="preserve">mostly relevant </w:t>
            </w:r>
            <w:r w:rsidRPr="00186E59">
              <w:rPr>
                <w:rFonts w:ascii="MyriadPro-Regular" w:hAnsi="MyriadPro-Regular" w:cs="MyriadPro-Regular"/>
                <w:sz w:val="19"/>
                <w:szCs w:val="19"/>
              </w:rPr>
              <w:t>information. The student’s</w:t>
            </w:r>
          </w:p>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work </w:t>
            </w:r>
            <w:r w:rsidRPr="00186E59">
              <w:rPr>
                <w:rFonts w:ascii="MyriadPro-Bold" w:hAnsi="MyriadPro-Bold" w:cs="MyriadPro-Bold"/>
                <w:b/>
                <w:bCs/>
                <w:sz w:val="19"/>
                <w:szCs w:val="19"/>
              </w:rPr>
              <w:t>lacks the required depth in analysis</w:t>
            </w:r>
            <w:r w:rsidRPr="00186E59">
              <w:rPr>
                <w:rFonts w:ascii="MyriadPro-Regular" w:hAnsi="MyriadPro-Regular" w:cs="MyriadPro-Regular"/>
                <w:sz w:val="19"/>
                <w:szCs w:val="19"/>
              </w:rPr>
              <w:t>. The student makes</w:t>
            </w:r>
          </w:p>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some </w:t>
            </w:r>
            <w:r w:rsidRPr="00186E59">
              <w:rPr>
                <w:rFonts w:ascii="MyriadPro-Bold" w:hAnsi="MyriadPro-Bold" w:cs="MyriadPro-Bold"/>
                <w:b/>
                <w:bCs/>
                <w:sz w:val="19"/>
                <w:szCs w:val="19"/>
              </w:rPr>
              <w:t xml:space="preserve">relevant </w:t>
            </w:r>
            <w:r w:rsidRPr="00186E59">
              <w:rPr>
                <w:rFonts w:ascii="MyriadPro-Regular" w:hAnsi="MyriadPro-Regular" w:cs="MyriadPro-Regular"/>
                <w:sz w:val="19"/>
                <w:szCs w:val="19"/>
              </w:rPr>
              <w:t>arguments, decisions or judgments though these are</w:t>
            </w:r>
          </w:p>
          <w:p w:rsidR="00E978BA" w:rsidRDefault="00E978BA" w:rsidP="00E978BA">
            <w:r w:rsidRPr="00186E59">
              <w:rPr>
                <w:rFonts w:ascii="MyriadPro-Bold" w:hAnsi="MyriadPro-Bold" w:cs="MyriadPro-Bold"/>
                <w:b/>
                <w:bCs/>
                <w:sz w:val="19"/>
                <w:szCs w:val="19"/>
              </w:rPr>
              <w:t>unsupported</w:t>
            </w:r>
            <w:r w:rsidRPr="00186E59">
              <w:rPr>
                <w:rFonts w:ascii="MyriadPro-Regular" w:hAnsi="MyriadPro-Regular" w:cs="MyriadPro-Regular"/>
                <w:sz w:val="19"/>
                <w:szCs w:val="19"/>
              </w:rPr>
              <w:t xml:space="preserve">. The student demonstrates </w:t>
            </w:r>
            <w:r w:rsidRPr="00186E59">
              <w:rPr>
                <w:rFonts w:ascii="MyriadPro-Bold" w:hAnsi="MyriadPro-Bold" w:cs="MyriadPro-Bold"/>
                <w:b/>
                <w:bCs/>
                <w:sz w:val="19"/>
                <w:szCs w:val="19"/>
              </w:rPr>
              <w:t xml:space="preserve">basic </w:t>
            </w:r>
            <w:r w:rsidRPr="00186E59">
              <w:rPr>
                <w:rFonts w:ascii="MyriadPro-Regular" w:hAnsi="MyriadPro-Regular" w:cs="MyriadPro-Regular"/>
                <w:sz w:val="19"/>
                <w:szCs w:val="19"/>
              </w:rPr>
              <w:t>investigative skills.</w:t>
            </w:r>
          </w:p>
        </w:tc>
      </w:tr>
      <w:tr w:rsidR="00E978BA" w:rsidTr="00186E59">
        <w:trPr>
          <w:jc w:val="center"/>
        </w:trPr>
        <w:tc>
          <w:tcPr>
            <w:tcW w:w="1260" w:type="dxa"/>
          </w:tcPr>
          <w:p w:rsidR="00E978BA" w:rsidRDefault="00E978BA" w:rsidP="00186E59">
            <w:pPr>
              <w:jc w:val="center"/>
            </w:pPr>
            <w:r>
              <w:t>5-6</w:t>
            </w:r>
          </w:p>
        </w:tc>
        <w:tc>
          <w:tcPr>
            <w:tcW w:w="1260" w:type="dxa"/>
          </w:tcPr>
          <w:p w:rsidR="00E978BA" w:rsidRDefault="00E978BA">
            <w:r>
              <w:t xml:space="preserve">  86%-100%</w:t>
            </w:r>
          </w:p>
        </w:tc>
        <w:tc>
          <w:tcPr>
            <w:tcW w:w="7902" w:type="dxa"/>
          </w:tcPr>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The student selects and uses </w:t>
            </w:r>
            <w:r w:rsidRPr="00186E59">
              <w:rPr>
                <w:rFonts w:ascii="MyriadPro-Bold" w:hAnsi="MyriadPro-Bold" w:cs="MyriadPro-Bold"/>
                <w:b/>
                <w:bCs/>
                <w:sz w:val="19"/>
                <w:szCs w:val="19"/>
              </w:rPr>
              <w:t xml:space="preserve">relevant </w:t>
            </w:r>
            <w:r w:rsidRPr="00186E59">
              <w:rPr>
                <w:rFonts w:ascii="MyriadPro-Regular" w:hAnsi="MyriadPro-Regular" w:cs="MyriadPro-Regular"/>
                <w:sz w:val="19"/>
                <w:szCs w:val="19"/>
              </w:rPr>
              <w:t>information. Work shows</w:t>
            </w:r>
          </w:p>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Bold" w:hAnsi="MyriadPro-Bold" w:cs="MyriadPro-Bold"/>
                <w:b/>
                <w:bCs/>
                <w:sz w:val="19"/>
                <w:szCs w:val="19"/>
              </w:rPr>
              <w:t>satisfactory evidence of analysis</w:t>
            </w:r>
            <w:r w:rsidRPr="00186E59">
              <w:rPr>
                <w:rFonts w:ascii="MyriadPro-Regular" w:hAnsi="MyriadPro-Regular" w:cs="MyriadPro-Regular"/>
                <w:sz w:val="19"/>
                <w:szCs w:val="19"/>
              </w:rPr>
              <w:t>. Arguments, decisions and judgments</w:t>
            </w:r>
          </w:p>
          <w:p w:rsidR="00E978BA" w:rsidRPr="00186E59" w:rsidRDefault="00E978BA" w:rsidP="00186E59">
            <w:pPr>
              <w:autoSpaceDE w:val="0"/>
              <w:autoSpaceDN w:val="0"/>
              <w:adjustRightInd w:val="0"/>
              <w:spacing w:after="0" w:line="240" w:lineRule="auto"/>
              <w:rPr>
                <w:rFonts w:ascii="MyriadPro-Regular" w:hAnsi="MyriadPro-Regular" w:cs="MyriadPro-Regular"/>
                <w:sz w:val="19"/>
                <w:szCs w:val="19"/>
              </w:rPr>
            </w:pPr>
            <w:r w:rsidRPr="00186E59">
              <w:rPr>
                <w:rFonts w:ascii="MyriadPro-Regular" w:hAnsi="MyriadPro-Regular" w:cs="MyriadPro-Regular"/>
                <w:sz w:val="19"/>
                <w:szCs w:val="19"/>
              </w:rPr>
              <w:t xml:space="preserve">are </w:t>
            </w:r>
            <w:r w:rsidRPr="00186E59">
              <w:rPr>
                <w:rFonts w:ascii="MyriadPro-Bold" w:hAnsi="MyriadPro-Bold" w:cs="MyriadPro-Bold"/>
                <w:b/>
                <w:bCs/>
                <w:sz w:val="19"/>
                <w:szCs w:val="19"/>
              </w:rPr>
              <w:t>supported and balanced but superficial</w:t>
            </w:r>
            <w:r w:rsidRPr="00186E59">
              <w:rPr>
                <w:rFonts w:ascii="MyriadPro-Regular" w:hAnsi="MyriadPro-Regular" w:cs="MyriadPro-Regular"/>
                <w:sz w:val="19"/>
                <w:szCs w:val="19"/>
              </w:rPr>
              <w:t>. The student demonstrates</w:t>
            </w:r>
          </w:p>
          <w:p w:rsidR="00E978BA" w:rsidRDefault="00E978BA" w:rsidP="00E978BA">
            <w:r w:rsidRPr="00186E59">
              <w:rPr>
                <w:rFonts w:ascii="MyriadPro-Bold" w:hAnsi="MyriadPro-Bold" w:cs="MyriadPro-Bold"/>
                <w:b/>
                <w:bCs/>
                <w:sz w:val="19"/>
                <w:szCs w:val="19"/>
              </w:rPr>
              <w:t xml:space="preserve">adequate </w:t>
            </w:r>
            <w:r w:rsidRPr="00186E59">
              <w:rPr>
                <w:rFonts w:ascii="MyriadPro-Regular" w:hAnsi="MyriadPro-Regular" w:cs="MyriadPro-Regular"/>
                <w:sz w:val="19"/>
                <w:szCs w:val="19"/>
              </w:rPr>
              <w:t>investigative skills.</w:t>
            </w:r>
          </w:p>
        </w:tc>
      </w:tr>
      <w:tr w:rsidR="00E978BA" w:rsidTr="00186E59">
        <w:trPr>
          <w:jc w:val="center"/>
        </w:trPr>
        <w:tc>
          <w:tcPr>
            <w:tcW w:w="1260" w:type="dxa"/>
          </w:tcPr>
          <w:p w:rsidR="00E978BA" w:rsidRDefault="00E978BA"/>
        </w:tc>
        <w:tc>
          <w:tcPr>
            <w:tcW w:w="1260" w:type="dxa"/>
          </w:tcPr>
          <w:p w:rsidR="00E978BA" w:rsidRDefault="00E978BA"/>
        </w:tc>
        <w:tc>
          <w:tcPr>
            <w:tcW w:w="7902" w:type="dxa"/>
          </w:tcPr>
          <w:p w:rsidR="00E978BA" w:rsidRDefault="00E978BA">
            <w:r>
              <w:t>This is based upon Humanities Year One</w:t>
            </w:r>
          </w:p>
        </w:tc>
      </w:tr>
    </w:tbl>
    <w:p w:rsidR="00E978BA" w:rsidRDefault="00E978BA"/>
    <w:sectPr w:rsidR="00E978BA" w:rsidSect="00E922EB">
      <w:headerReference w:type="default" r:id="rId6"/>
      <w:pgSz w:w="12240" w:h="15840"/>
      <w:pgMar w:top="1440"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93" w:rsidRDefault="00BD5F93" w:rsidP="00E922EB">
      <w:pPr>
        <w:spacing w:after="0" w:line="240" w:lineRule="auto"/>
      </w:pPr>
      <w:r>
        <w:separator/>
      </w:r>
    </w:p>
  </w:endnote>
  <w:endnote w:type="continuationSeparator" w:id="0">
    <w:p w:rsidR="00BD5F93" w:rsidRDefault="00BD5F93" w:rsidP="00E92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93" w:rsidRDefault="00BD5F93" w:rsidP="00E922EB">
      <w:pPr>
        <w:spacing w:after="0" w:line="240" w:lineRule="auto"/>
      </w:pPr>
      <w:r>
        <w:separator/>
      </w:r>
    </w:p>
  </w:footnote>
  <w:footnote w:type="continuationSeparator" w:id="0">
    <w:p w:rsidR="00BD5F93" w:rsidRDefault="00BD5F93" w:rsidP="00E92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5E" w:rsidRPr="00213E5E" w:rsidRDefault="00213E5E" w:rsidP="00213E5E">
    <w:pPr>
      <w:pStyle w:val="Header"/>
    </w:pPr>
    <w:r>
      <w:t>Name: _______________________________________</w:t>
    </w:r>
    <w:r>
      <w:tab/>
      <w:t>Period:________</w:t>
    </w:r>
  </w:p>
  <w:p w:rsidR="00E922EB" w:rsidRPr="00213E5E" w:rsidRDefault="00E922EB" w:rsidP="00213E5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Harappan Artifacts &amp; Today’s Time Capsule</w:t>
    </w:r>
  </w:p>
  <w:p w:rsidR="00E922EB" w:rsidRPr="003D5C28" w:rsidRDefault="00213E5E" w:rsidP="00213E5E">
    <w:pPr>
      <w:keepLines/>
      <w:suppressAutoHyphens/>
      <w:autoSpaceDE w:val="0"/>
      <w:autoSpaceDN w:val="0"/>
      <w:adjustRightInd w:val="0"/>
      <w:spacing w:after="0" w:line="240" w:lineRule="auto"/>
      <w:jc w:val="center"/>
      <w:rPr>
        <w:rFonts w:ascii="Times New Roman" w:hAnsi="Times New Roman"/>
        <w:color w:val="000000"/>
        <w:sz w:val="24"/>
        <w:szCs w:val="24"/>
      </w:rPr>
    </w:pPr>
    <w:r w:rsidRPr="003D5C28">
      <w:rPr>
        <w:rFonts w:ascii="Times New Roman" w:hAnsi="Times New Roman"/>
        <w:b/>
        <w:bCs/>
        <w:color w:val="000000"/>
        <w:sz w:val="24"/>
        <w:szCs w:val="24"/>
      </w:rPr>
      <w:t>S2:C1:PO8</w:t>
    </w:r>
    <w:r w:rsidRPr="003D5C28">
      <w:rPr>
        <w:rFonts w:ascii="Times New Roman" w:hAnsi="Times New Roman"/>
        <w:color w:val="000000"/>
        <w:sz w:val="24"/>
        <w:szCs w:val="24"/>
      </w:rPr>
      <w:t>- Describe how archeological research adds to our understanding of the past.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922EB"/>
    <w:rsid w:val="00186E59"/>
    <w:rsid w:val="00213E5E"/>
    <w:rsid w:val="00231818"/>
    <w:rsid w:val="002F09FB"/>
    <w:rsid w:val="003D5C28"/>
    <w:rsid w:val="004D322A"/>
    <w:rsid w:val="006B110D"/>
    <w:rsid w:val="007E7F7F"/>
    <w:rsid w:val="007F3FC6"/>
    <w:rsid w:val="00941D29"/>
    <w:rsid w:val="00AB7344"/>
    <w:rsid w:val="00BD5F93"/>
    <w:rsid w:val="00E922EB"/>
    <w:rsid w:val="00E978BA"/>
    <w:rsid w:val="00F9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EB"/>
  </w:style>
  <w:style w:type="paragraph" w:styleId="Footer">
    <w:name w:val="footer"/>
    <w:basedOn w:val="Normal"/>
    <w:link w:val="FooterChar"/>
    <w:uiPriority w:val="99"/>
    <w:semiHidden/>
    <w:unhideWhenUsed/>
    <w:rsid w:val="00E92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2EB"/>
  </w:style>
  <w:style w:type="paragraph" w:styleId="BalloonText">
    <w:name w:val="Balloon Text"/>
    <w:basedOn w:val="Normal"/>
    <w:link w:val="BalloonTextChar"/>
    <w:uiPriority w:val="99"/>
    <w:semiHidden/>
    <w:unhideWhenUsed/>
    <w:rsid w:val="00E9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EB"/>
    <w:rPr>
      <w:rFonts w:ascii="Tahoma" w:hAnsi="Tahoma" w:cs="Tahoma"/>
      <w:sz w:val="16"/>
      <w:szCs w:val="16"/>
    </w:rPr>
  </w:style>
  <w:style w:type="table" w:styleId="TableGrid">
    <w:name w:val="Table Grid"/>
    <w:basedOn w:val="TableNormal"/>
    <w:uiPriority w:val="59"/>
    <w:rsid w:val="00E97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Harappan Artifacts &amp; Today’s Time Capsule</vt:lpstr>
    </vt:vector>
  </TitlesOfParts>
  <Company>Deer Valley USD</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Harappan Artifacts &amp; Today’s Time Capsule</dc:title>
  <dc:subject/>
  <dc:creator>Colleen McNamara</dc:creator>
  <cp:keywords/>
  <dc:description/>
  <cp:lastModifiedBy>Jamie Wilber</cp:lastModifiedBy>
  <cp:revision>4</cp:revision>
  <cp:lastPrinted>2010-11-02T00:09:00Z</cp:lastPrinted>
  <dcterms:created xsi:type="dcterms:W3CDTF">2010-11-04T21:16:00Z</dcterms:created>
  <dcterms:modified xsi:type="dcterms:W3CDTF">2011-01-09T01:22:00Z</dcterms:modified>
</cp:coreProperties>
</file>